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4f81bd"/>
          <w:sz w:val="48"/>
          <w:szCs w:val="48"/>
          <w:rtl w:val="0"/>
        </w:rPr>
        <w:t xml:space="preserve">Atazen zerrenda</w:t>
      </w:r>
      <w:r w:rsidDel="00000000" w:rsidR="00000000" w:rsidRPr="00000000">
        <w:rPr>
          <w:b w:val="1"/>
          <w:color w:val="17365d"/>
          <w:sz w:val="52.08000183105469"/>
          <w:szCs w:val="52.08000183105469"/>
          <w:rtl w:val="0"/>
        </w:rPr>
        <w:t xml:space="preserve">: Prozedura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No Descripción detallada de la tarea.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color w:val="808080"/>
          <w:sz w:val="22.079999923706055"/>
          <w:szCs w:val="22.079999923706055"/>
          <w:rtl w:val="0"/>
        </w:rPr>
        <w:t xml:space="preserve">Adib: Arkatzez eta erregelaz lagunduta, markatu pieza guztiak zuraren gainean.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4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6.79999987284343"/>
          <w:szCs w:val="36.79999987284343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UMENT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"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Atazen zerrenda: prozedura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16.079999923706055"/>
            <w:szCs w:val="16.079999923706055"/>
            <w:u w:val="single"/>
            <w:shd w:fill="auto" w:val="clear"/>
            <w:vertAlign w:val="baseline"/>
            <w:rtl w:val="0"/>
          </w:rPr>
          <w:t xml:space="preserve">http://</w:t>
        </w:r>
      </w:hyperlink>
      <w:hyperlink r:id="rId7">
        <w:r w:rsidDel="00000000" w:rsidR="00000000" w:rsidRPr="00000000">
          <w:rPr>
            <w:color w:val="1155cc"/>
            <w:sz w:val="16.079999923706055"/>
            <w:szCs w:val="16.079999923706055"/>
            <w:u w:val="single"/>
            <w:rtl w:val="0"/>
          </w:rPr>
          <w:t xml:space="preserve">berezuma.com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16.079999923706055"/>
          <w:szCs w:val="16.079999923706055"/>
          <w:rtl w:val="0"/>
        </w:rPr>
        <w:t xml:space="preserve">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bertsioa: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Jatorrizko bertsioa: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erezuma.com" TargetMode="External"/><Relationship Id="rId7" Type="http://schemas.openxmlformats.org/officeDocument/2006/relationships/hyperlink" Target="http://berez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